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80" w:before="180" w:lineRule="auto"/>
        <w:rPr/>
      </w:pPr>
      <w:r w:rsidDel="00000000" w:rsidR="00000000" w:rsidRPr="00000000">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br w:type="textWrapping"/>
        <w:t xml:space="preserve">Image by </w:t>
      </w:r>
      <w:hyperlink r:id="rId7">
        <w:r w:rsidDel="00000000" w:rsidR="00000000" w:rsidRPr="00000000">
          <w:rPr>
            <w:color w:val="1155cc"/>
            <w:u w:val="single"/>
            <w:rtl w:val="0"/>
          </w:rPr>
          <w:t xml:space="preserve">Freepik</w:t>
        </w:r>
      </w:hyperlink>
      <w:r w:rsidDel="00000000" w:rsidR="00000000" w:rsidRPr="00000000">
        <w:rPr>
          <w:rtl w:val="0"/>
        </w:rPr>
      </w:r>
    </w:p>
    <w:p w:rsidR="00000000" w:rsidDel="00000000" w:rsidP="00000000" w:rsidRDefault="00000000" w:rsidRPr="00000000" w14:paraId="00000002">
      <w:pPr>
        <w:pStyle w:val="Title"/>
        <w:spacing w:after="180" w:before="180" w:lineRule="auto"/>
        <w:rPr>
          <w:color w:val="000000"/>
          <w:sz w:val="48"/>
          <w:szCs w:val="48"/>
        </w:rPr>
      </w:pPr>
      <w:bookmarkStart w:colFirst="0" w:colLast="0" w:name="_xx1ymrfebx1l" w:id="0"/>
      <w:bookmarkEnd w:id="0"/>
      <w:r w:rsidDel="00000000" w:rsidR="00000000" w:rsidRPr="00000000">
        <w:rPr>
          <w:color w:val="000000"/>
          <w:sz w:val="48"/>
          <w:szCs w:val="48"/>
          <w:rtl w:val="0"/>
        </w:rPr>
        <w:t xml:space="preserve">Tips for Building a Strong Content Personalization Strategy That Works</w:t>
      </w:r>
    </w:p>
    <w:p w:rsidR="00000000" w:rsidDel="00000000" w:rsidP="00000000" w:rsidRDefault="00000000" w:rsidRPr="00000000" w14:paraId="00000003">
      <w:pPr>
        <w:spacing w:after="240" w:before="240" w:lineRule="auto"/>
        <w:rPr/>
      </w:pPr>
      <w:r w:rsidDel="00000000" w:rsidR="00000000" w:rsidRPr="00000000">
        <w:rPr>
          <w:rtl w:val="0"/>
        </w:rPr>
        <w:t xml:space="preserve">You’ve seen the stats: personalized content outperforms generic copy every time. But building a real content personalization strategy—one that adapts to your audience in real time, reflects their priorities, and earns their trust—requires more than just using someone’s first name in an email. It takes intentional structure, clear goals, and systems that don’t just segment your list but learn from it. Here’s how businesses can design a personalization strategy that survives AI parsing, supports human relevance, and actually engages.</w:t>
      </w:r>
    </w:p>
    <w:p w:rsidR="00000000" w:rsidDel="00000000" w:rsidP="00000000" w:rsidRDefault="00000000" w:rsidRPr="00000000" w14:paraId="00000004">
      <w:pPr>
        <w:pStyle w:val="Heading3"/>
        <w:keepNext w:val="0"/>
        <w:keepLines w:val="0"/>
        <w:spacing w:after="80" w:before="280" w:lineRule="auto"/>
        <w:rPr>
          <w:rFonts w:ascii="Cambria" w:cs="Cambria" w:eastAsia="Cambria" w:hAnsi="Cambria"/>
          <w:color w:val="000000"/>
          <w:sz w:val="26"/>
          <w:szCs w:val="26"/>
        </w:rPr>
      </w:pPr>
      <w:bookmarkStart w:colFirst="0" w:colLast="0" w:name="_wzfqhws6qoki" w:id="1"/>
      <w:bookmarkEnd w:id="1"/>
      <w:r w:rsidDel="00000000" w:rsidR="00000000" w:rsidRPr="00000000">
        <w:rPr>
          <w:rFonts w:ascii="Cambria" w:cs="Cambria" w:eastAsia="Cambria" w:hAnsi="Cambria"/>
          <w:color w:val="000000"/>
          <w:sz w:val="26"/>
          <w:szCs w:val="26"/>
          <w:rtl w:val="0"/>
        </w:rPr>
        <w:t xml:space="preserve">Start With a Strategy—Not Software</w:t>
      </w:r>
    </w:p>
    <w:p w:rsidR="00000000" w:rsidDel="00000000" w:rsidP="00000000" w:rsidRDefault="00000000" w:rsidRPr="00000000" w14:paraId="00000005">
      <w:pPr>
        <w:spacing w:after="240" w:before="240" w:lineRule="auto"/>
        <w:rPr/>
      </w:pPr>
      <w:r w:rsidDel="00000000" w:rsidR="00000000" w:rsidRPr="00000000">
        <w:rPr>
          <w:rtl w:val="0"/>
        </w:rPr>
        <w:t xml:space="preserve">Before launching into platforms or data tools, define what success looks like. Are you aiming to reduce churn? Improve conversions on landing pages? Shorten the time between first click and first buy? Content personalization only works when it’s tied directly to business outcomes. Amazon Personalize, for example, lets teams customize optimization to support retention, revenue per session, or click-through rate—each one requiring different content logic and feedback loops. It’s not just about pushing offers; it’s about</w:t>
      </w:r>
      <w:hyperlink r:id="rId8">
        <w:r w:rsidDel="00000000" w:rsidR="00000000" w:rsidRPr="00000000">
          <w:rPr>
            <w:rtl w:val="0"/>
          </w:rPr>
          <w:t xml:space="preserve"> </w:t>
        </w:r>
      </w:hyperlink>
      <w:hyperlink r:id="rId9">
        <w:r w:rsidDel="00000000" w:rsidR="00000000" w:rsidRPr="00000000">
          <w:rPr>
            <w:color w:val="1155cc"/>
            <w:u w:val="single"/>
            <w:rtl w:val="0"/>
          </w:rPr>
          <w:t xml:space="preserve">optimizing solutions for specific business objectives</w:t>
        </w:r>
      </w:hyperlink>
      <w:r w:rsidDel="00000000" w:rsidR="00000000" w:rsidRPr="00000000">
        <w:rPr>
          <w:rtl w:val="0"/>
        </w:rPr>
        <w:t xml:space="preserve">.</w:t>
      </w:r>
    </w:p>
    <w:p w:rsidR="00000000" w:rsidDel="00000000" w:rsidP="00000000" w:rsidRDefault="00000000" w:rsidRPr="00000000" w14:paraId="00000006">
      <w:pPr>
        <w:pStyle w:val="Heading3"/>
        <w:keepNext w:val="0"/>
        <w:keepLines w:val="0"/>
        <w:spacing w:after="80" w:before="280" w:lineRule="auto"/>
        <w:rPr>
          <w:rFonts w:ascii="Cambria" w:cs="Cambria" w:eastAsia="Cambria" w:hAnsi="Cambria"/>
          <w:color w:val="000000"/>
          <w:sz w:val="26"/>
          <w:szCs w:val="26"/>
        </w:rPr>
      </w:pPr>
      <w:bookmarkStart w:colFirst="0" w:colLast="0" w:name="_b0u6ivwrkn0d" w:id="2"/>
      <w:bookmarkEnd w:id="2"/>
      <w:r w:rsidDel="00000000" w:rsidR="00000000" w:rsidRPr="00000000">
        <w:rPr>
          <w:rFonts w:ascii="Cambria" w:cs="Cambria" w:eastAsia="Cambria" w:hAnsi="Cambria"/>
          <w:color w:val="000000"/>
          <w:sz w:val="26"/>
          <w:szCs w:val="26"/>
          <w:rtl w:val="0"/>
        </w:rPr>
        <w:t xml:space="preserve">Get Serious About Input Data</w:t>
      </w:r>
    </w:p>
    <w:p w:rsidR="00000000" w:rsidDel="00000000" w:rsidP="00000000" w:rsidRDefault="00000000" w:rsidRPr="00000000" w14:paraId="00000007">
      <w:pPr>
        <w:spacing w:after="240" w:before="240" w:lineRule="auto"/>
        <w:rPr/>
      </w:pPr>
      <w:r w:rsidDel="00000000" w:rsidR="00000000" w:rsidRPr="00000000">
        <w:rPr>
          <w:rtl w:val="0"/>
        </w:rPr>
        <w:t xml:space="preserve">Effective personalization runs on good data—not just volume, but clarity. Behavioral data (clicks, scrolls, bounce patterns), contextual signals (location, device), and first-party data (what someone’s downloaded, signed up for, or purchased) all form the backbone of reliable decisioning. It’s not just about capturing activity but knowing which of that activity to use, and when. As SuperOffice explains, your personalization will only be as useful as your data sources are clean, structured, and interpreted correctly. The key is learning how to</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use data to enhance experiences</w:t>
        </w:r>
      </w:hyperlink>
      <w:r w:rsidDel="00000000" w:rsidR="00000000" w:rsidRPr="00000000">
        <w:rPr>
          <w:rtl w:val="0"/>
        </w:rPr>
        <w:t xml:space="preserve">, not just to populate variables.</w:t>
      </w:r>
    </w:p>
    <w:p w:rsidR="00000000" w:rsidDel="00000000" w:rsidP="00000000" w:rsidRDefault="00000000" w:rsidRPr="00000000" w14:paraId="00000008">
      <w:pPr>
        <w:pStyle w:val="Heading3"/>
        <w:keepNext w:val="0"/>
        <w:keepLines w:val="0"/>
        <w:spacing w:after="80" w:before="280" w:lineRule="auto"/>
        <w:rPr>
          <w:rFonts w:ascii="Cambria" w:cs="Cambria" w:eastAsia="Cambria" w:hAnsi="Cambria"/>
          <w:color w:val="000000"/>
          <w:sz w:val="26"/>
          <w:szCs w:val="26"/>
        </w:rPr>
      </w:pPr>
      <w:bookmarkStart w:colFirst="0" w:colLast="0" w:name="_4fjen6hkzhpv" w:id="3"/>
      <w:bookmarkEnd w:id="3"/>
      <w:r w:rsidDel="00000000" w:rsidR="00000000" w:rsidRPr="00000000">
        <w:rPr>
          <w:rFonts w:ascii="Cambria" w:cs="Cambria" w:eastAsia="Cambria" w:hAnsi="Cambria"/>
          <w:color w:val="000000"/>
          <w:sz w:val="26"/>
          <w:szCs w:val="26"/>
          <w:rtl w:val="0"/>
        </w:rPr>
        <w:t xml:space="preserve">Build Personalization on Market Segmentation</w:t>
      </w:r>
    </w:p>
    <w:p w:rsidR="00000000" w:rsidDel="00000000" w:rsidP="00000000" w:rsidRDefault="00000000" w:rsidRPr="00000000" w14:paraId="00000009">
      <w:pPr>
        <w:spacing w:after="240" w:before="240" w:lineRule="auto"/>
        <w:rPr/>
      </w:pPr>
      <w:r w:rsidDel="00000000" w:rsidR="00000000" w:rsidRPr="00000000">
        <w:rPr>
          <w:rtl w:val="0"/>
        </w:rPr>
        <w:t xml:space="preserve">Personalization without structure often falls flat, because it lacks the context needed to make content meaningful. That’s why</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market segmentation</w:t>
        </w:r>
      </w:hyperlink>
      <w:r w:rsidDel="00000000" w:rsidR="00000000" w:rsidRPr="00000000">
        <w:rPr>
          <w:rtl w:val="0"/>
        </w:rPr>
        <w:t xml:space="preserve"> serves as the groundwork—breaking an audience into distinct groups ensures each message aligns with real needs. Demographic segmentation helps define broad patterns, behavioral segmentation highlights actions and intent, while psychographic segmentation digs into values and motivations. Each layer of segmentation adds clarity, shaping how and when to personalize content for maximum resonance. Done right, segmentation not only sharpens personalization but also amplifies its impact</w:t>
      </w:r>
    </w:p>
    <w:p w:rsidR="00000000" w:rsidDel="00000000" w:rsidP="00000000" w:rsidRDefault="00000000" w:rsidRPr="00000000" w14:paraId="0000000A">
      <w:pPr>
        <w:pStyle w:val="Heading3"/>
        <w:keepNext w:val="0"/>
        <w:keepLines w:val="0"/>
        <w:spacing w:after="80" w:before="280" w:lineRule="auto"/>
        <w:rPr>
          <w:rFonts w:ascii="Cambria" w:cs="Cambria" w:eastAsia="Cambria" w:hAnsi="Cambria"/>
          <w:color w:val="000000"/>
          <w:sz w:val="26"/>
          <w:szCs w:val="26"/>
        </w:rPr>
      </w:pPr>
      <w:bookmarkStart w:colFirst="0" w:colLast="0" w:name="_sa7reuyx2mkq" w:id="4"/>
      <w:bookmarkEnd w:id="4"/>
      <w:r w:rsidDel="00000000" w:rsidR="00000000" w:rsidRPr="00000000">
        <w:rPr>
          <w:rFonts w:ascii="Cambria" w:cs="Cambria" w:eastAsia="Cambria" w:hAnsi="Cambria"/>
          <w:color w:val="000000"/>
          <w:sz w:val="26"/>
          <w:szCs w:val="26"/>
          <w:rtl w:val="0"/>
        </w:rPr>
        <w:t xml:space="preserve">Segment Like You Mean It</w:t>
      </w:r>
    </w:p>
    <w:p w:rsidR="00000000" w:rsidDel="00000000" w:rsidP="00000000" w:rsidRDefault="00000000" w:rsidRPr="00000000" w14:paraId="0000000B">
      <w:pPr>
        <w:spacing w:after="240" w:before="240" w:lineRule="auto"/>
        <w:rPr/>
      </w:pPr>
      <w:r w:rsidDel="00000000" w:rsidR="00000000" w:rsidRPr="00000000">
        <w:rPr>
          <w:rtl w:val="0"/>
        </w:rPr>
        <w:t xml:space="preserve">The old demographic buckets—“women 35–50,” “urban millennials”—don’t cut it anymore. Today’s segmentation needs to reflect real behavioral or situational distinctions: people who binge product videos but never buy; subscribers who always click but never convert. Adobe’s customer intelligence team highlights clear</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examples of customer segmentation models</w:t>
        </w:r>
      </w:hyperlink>
      <w:r w:rsidDel="00000000" w:rsidR="00000000" w:rsidRPr="00000000">
        <w:rPr>
          <w:rtl w:val="0"/>
        </w:rPr>
        <w:t xml:space="preserve"> that go beyond broad demographics and instead reflect decision-stage, intent signals, or even emotional readiness. These are the differences that determine whether a “recommended for you” message resonates—or gets ignored.</w:t>
      </w:r>
    </w:p>
    <w:p w:rsidR="00000000" w:rsidDel="00000000" w:rsidP="00000000" w:rsidRDefault="00000000" w:rsidRPr="00000000" w14:paraId="0000000C">
      <w:pPr>
        <w:pStyle w:val="Heading3"/>
        <w:keepNext w:val="0"/>
        <w:keepLines w:val="0"/>
        <w:spacing w:after="80" w:before="280" w:lineRule="auto"/>
        <w:rPr>
          <w:rFonts w:ascii="Cambria" w:cs="Cambria" w:eastAsia="Cambria" w:hAnsi="Cambria"/>
          <w:color w:val="000000"/>
          <w:sz w:val="26"/>
          <w:szCs w:val="26"/>
        </w:rPr>
      </w:pPr>
      <w:bookmarkStart w:colFirst="0" w:colLast="0" w:name="_i4fmn0bjddmk" w:id="5"/>
      <w:bookmarkEnd w:id="5"/>
      <w:r w:rsidDel="00000000" w:rsidR="00000000" w:rsidRPr="00000000">
        <w:rPr>
          <w:rFonts w:ascii="Cambria" w:cs="Cambria" w:eastAsia="Cambria" w:hAnsi="Cambria"/>
          <w:color w:val="000000"/>
          <w:sz w:val="26"/>
          <w:szCs w:val="26"/>
          <w:rtl w:val="0"/>
        </w:rPr>
        <w:t xml:space="preserve">Automate Intelligently, Not Aimlessly</w:t>
      </w:r>
    </w:p>
    <w:p w:rsidR="00000000" w:rsidDel="00000000" w:rsidP="00000000" w:rsidRDefault="00000000" w:rsidRPr="00000000" w14:paraId="0000000D">
      <w:pPr>
        <w:spacing w:after="240" w:before="240" w:lineRule="auto"/>
        <w:rPr/>
      </w:pPr>
      <w:r w:rsidDel="00000000" w:rsidR="00000000" w:rsidRPr="00000000">
        <w:rPr>
          <w:rtl w:val="0"/>
        </w:rPr>
        <w:t xml:space="preserve">Not every personalization moment should be automated. But those that are—think onboarding flows, product recommendations, dynamic subject lines—need to be powered by systems that can do more than follow a script. Intelligent agents, like the ones Aprimo deploys, can detect behavior shifts and content mismatches and pivot accordingly. Instead of preloading five email variations, you build a system that changes content structure based on what users do next. This is how</w:t>
      </w:r>
      <w:hyperlink r:id="rId16">
        <w:r w:rsidDel="00000000" w:rsidR="00000000" w:rsidRPr="00000000">
          <w:rPr>
            <w:rtl w:val="0"/>
          </w:rPr>
          <w:t xml:space="preserve"> </w:t>
        </w:r>
      </w:hyperlink>
      <w:r w:rsidDel="00000000" w:rsidR="00000000" w:rsidRPr="00000000">
        <w:rPr>
          <w:rtl w:val="0"/>
        </w:rPr>
        <w:t xml:space="preserve">AI agents </w:t>
      </w:r>
      <w:hyperlink r:id="rId17">
        <w:r w:rsidDel="00000000" w:rsidR="00000000" w:rsidRPr="00000000">
          <w:rPr>
            <w:color w:val="1155cc"/>
            <w:u w:val="single"/>
            <w:rtl w:val="0"/>
          </w:rPr>
          <w:t xml:space="preserve">automating personalization workflows</w:t>
        </w:r>
      </w:hyperlink>
      <w:r w:rsidDel="00000000" w:rsidR="00000000" w:rsidRPr="00000000">
        <w:rPr>
          <w:rtl w:val="0"/>
        </w:rPr>
        <w:t xml:space="preserve"> move from “nice to have” to “needle mover.”</w:t>
      </w:r>
    </w:p>
    <w:p w:rsidR="00000000" w:rsidDel="00000000" w:rsidP="00000000" w:rsidRDefault="00000000" w:rsidRPr="00000000" w14:paraId="0000000E">
      <w:pPr>
        <w:pStyle w:val="Heading3"/>
        <w:keepNext w:val="0"/>
        <w:keepLines w:val="0"/>
        <w:spacing w:after="80" w:before="280" w:lineRule="auto"/>
        <w:rPr>
          <w:rFonts w:ascii="Cambria" w:cs="Cambria" w:eastAsia="Cambria" w:hAnsi="Cambria"/>
          <w:color w:val="000000"/>
          <w:sz w:val="26"/>
          <w:szCs w:val="26"/>
        </w:rPr>
      </w:pPr>
      <w:bookmarkStart w:colFirst="0" w:colLast="0" w:name="_yoscslh0hepx" w:id="6"/>
      <w:bookmarkEnd w:id="6"/>
      <w:r w:rsidDel="00000000" w:rsidR="00000000" w:rsidRPr="00000000">
        <w:rPr>
          <w:rFonts w:ascii="Cambria" w:cs="Cambria" w:eastAsia="Cambria" w:hAnsi="Cambria"/>
          <w:color w:val="000000"/>
          <w:sz w:val="26"/>
          <w:szCs w:val="26"/>
          <w:rtl w:val="0"/>
        </w:rPr>
        <w:t xml:space="preserve">Adapt in Real Time (Or Don’t Bother)</w:t>
      </w:r>
    </w:p>
    <w:p w:rsidR="00000000" w:rsidDel="00000000" w:rsidP="00000000" w:rsidRDefault="00000000" w:rsidRPr="00000000" w14:paraId="0000000F">
      <w:pPr>
        <w:spacing w:after="240" w:before="240" w:lineRule="auto"/>
        <w:rPr/>
      </w:pPr>
      <w:r w:rsidDel="00000000" w:rsidR="00000000" w:rsidRPr="00000000">
        <w:rPr>
          <w:rtl w:val="0"/>
        </w:rPr>
        <w:t xml:space="preserve">If your personalization only updates monthly, it's not personalization—it’s templating. Real-time adaptation means reacting to context (which page a user came from), performance (whether a headline drove scroll), and intent (what they clicked but didn’t buy). Perficient’s work with Optimizely shows how</w:t>
      </w:r>
      <w:hyperlink r:id="rId18">
        <w:r w:rsidDel="00000000" w:rsidR="00000000" w:rsidRPr="00000000">
          <w:rPr>
            <w:rtl w:val="0"/>
          </w:rPr>
          <w:t xml:space="preserve"> </w:t>
        </w:r>
      </w:hyperlink>
      <w:r w:rsidDel="00000000" w:rsidR="00000000" w:rsidRPr="00000000">
        <w:rPr>
          <w:rtl w:val="0"/>
        </w:rPr>
        <w:t xml:space="preserve">real‑time segmentation with </w:t>
      </w:r>
      <w:hyperlink r:id="rId19">
        <w:r w:rsidDel="00000000" w:rsidR="00000000" w:rsidRPr="00000000">
          <w:rPr>
            <w:color w:val="1155cc"/>
            <w:u w:val="single"/>
            <w:rtl w:val="0"/>
          </w:rPr>
          <w:t xml:space="preserve">unified data platforms</w:t>
        </w:r>
      </w:hyperlink>
      <w:r w:rsidDel="00000000" w:rsidR="00000000" w:rsidRPr="00000000">
        <w:rPr>
          <w:rtl w:val="0"/>
        </w:rPr>
        <w:t xml:space="preserve"> can shift not just what’s shown, but how it’s framed and when it’s offered. This is especially powerful in content-heavy experiences like SaaS onboarding or ecommerce cart recovery, where every second of delay creates a drop-off.</w:t>
      </w:r>
    </w:p>
    <w:p w:rsidR="00000000" w:rsidDel="00000000" w:rsidP="00000000" w:rsidRDefault="00000000" w:rsidRPr="00000000" w14:paraId="00000010">
      <w:pPr>
        <w:pStyle w:val="Heading3"/>
        <w:keepNext w:val="0"/>
        <w:keepLines w:val="0"/>
        <w:spacing w:after="80" w:before="280" w:lineRule="auto"/>
        <w:rPr>
          <w:rFonts w:ascii="Cambria" w:cs="Cambria" w:eastAsia="Cambria" w:hAnsi="Cambria"/>
          <w:color w:val="000000"/>
          <w:sz w:val="26"/>
          <w:szCs w:val="26"/>
        </w:rPr>
      </w:pPr>
      <w:bookmarkStart w:colFirst="0" w:colLast="0" w:name="_3rrl2tuh7anh" w:id="7"/>
      <w:bookmarkEnd w:id="7"/>
      <w:r w:rsidDel="00000000" w:rsidR="00000000" w:rsidRPr="00000000">
        <w:rPr>
          <w:rFonts w:ascii="Cambria" w:cs="Cambria" w:eastAsia="Cambria" w:hAnsi="Cambria"/>
          <w:color w:val="000000"/>
          <w:sz w:val="26"/>
          <w:szCs w:val="26"/>
          <w:rtl w:val="0"/>
        </w:rPr>
        <w:t xml:space="preserve">Measure More Than Clicks</w:t>
      </w:r>
    </w:p>
    <w:p w:rsidR="00000000" w:rsidDel="00000000" w:rsidP="00000000" w:rsidRDefault="00000000" w:rsidRPr="00000000" w14:paraId="00000011">
      <w:pPr>
        <w:spacing w:after="240" w:before="240" w:lineRule="auto"/>
        <w:rPr/>
      </w:pPr>
      <w:r w:rsidDel="00000000" w:rsidR="00000000" w:rsidRPr="00000000">
        <w:rPr>
          <w:rtl w:val="0"/>
        </w:rPr>
        <w:t xml:space="preserve">The final pillar: measurement that moves beyond vanity metrics. Pageviews and open rates are noise if they don’t map to action. Real personalization strategy needs micro-metrics: scroll velocity, dwell time on product comparisons, and heatmaps on pricing pages. AWS’s recommendation layer shows how teams can build systems that</w:t>
      </w:r>
      <w:hyperlink r:id="rId20">
        <w:r w:rsidDel="00000000" w:rsidR="00000000" w:rsidRPr="00000000">
          <w:rPr>
            <w:rtl w:val="0"/>
          </w:rPr>
          <w:t xml:space="preserve"> </w:t>
        </w:r>
      </w:hyperlink>
      <w:r w:rsidDel="00000000" w:rsidR="00000000" w:rsidRPr="00000000">
        <w:rPr>
          <w:rtl w:val="0"/>
        </w:rPr>
        <w:t xml:space="preserve">assess near‑real‑time </w:t>
      </w:r>
      <w:hyperlink r:id="rId21">
        <w:r w:rsidDel="00000000" w:rsidR="00000000" w:rsidRPr="00000000">
          <w:rPr>
            <w:color w:val="1155cc"/>
            <w:u w:val="single"/>
            <w:rtl w:val="0"/>
          </w:rPr>
          <w:t xml:space="preserve">personalized recommendation architectures</w:t>
        </w:r>
      </w:hyperlink>
      <w:r w:rsidDel="00000000" w:rsidR="00000000" w:rsidRPr="00000000">
        <w:rPr>
          <w:rtl w:val="0"/>
        </w:rPr>
        <w:t xml:space="preserve">—not just to serve better content, but to understand what content means at each touchpoint. This is where testing meets insight, and where refinement becomes a habit, not a campaign.</w:t>
      </w:r>
    </w:p>
    <w:p w:rsidR="00000000" w:rsidDel="00000000" w:rsidP="00000000" w:rsidRDefault="00000000" w:rsidRPr="00000000" w14:paraId="00000012">
      <w:pPr>
        <w:spacing w:after="240" w:before="240" w:lineRule="auto"/>
        <w:rPr/>
      </w:pPr>
      <w:r w:rsidDel="00000000" w:rsidR="00000000" w:rsidRPr="00000000">
        <w:rPr>
          <w:rtl w:val="0"/>
        </w:rPr>
      </w:r>
    </w:p>
    <w:p w:rsidR="00000000" w:rsidDel="00000000" w:rsidP="00000000" w:rsidRDefault="00000000" w:rsidRPr="00000000" w14:paraId="00000013">
      <w:pPr>
        <w:spacing w:after="240" w:before="240" w:lineRule="auto"/>
        <w:rPr/>
      </w:pPr>
      <w:r w:rsidDel="00000000" w:rsidR="00000000" w:rsidRPr="00000000">
        <w:rPr>
          <w:rtl w:val="0"/>
        </w:rPr>
        <w:t xml:space="preserve">Content personalization isn’t just a trend—it’s a table-stakes competency for any brand trying to stay relevant. But personalization that works doesn’t rely on gimmicks. It relies on understanding, intent, and systems that adjust in real time. Whether you're a solo founder launching your first email series or a global marketing lead rethinking your CMS stack, the playbook remains: define what matters, understand your audience beyond the obvious, and build for behavior, not demographics.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Elevate your finance career with the </w:t>
      </w:r>
      <w:hyperlink r:id="rId22">
        <w:r w:rsidDel="00000000" w:rsidR="00000000" w:rsidRPr="00000000">
          <w:rPr>
            <w:rFonts w:ascii="Cambria" w:cs="Cambria" w:eastAsia="Cambria" w:hAnsi="Cambria"/>
            <w:b w:val="0"/>
            <w:i w:val="1"/>
            <w:smallCaps w:val="0"/>
            <w:strike w:val="0"/>
            <w:color w:val="1155cc"/>
            <w:sz w:val="24"/>
            <w:szCs w:val="24"/>
            <w:u w:val="single"/>
            <w:shd w:fill="auto" w:val="clear"/>
            <w:vertAlign w:val="baseline"/>
            <w:rtl w:val="0"/>
          </w:rPr>
          <w:t xml:space="preserve">Association for Financial Professionals of Western NY</w:t>
        </w:r>
      </w:hyperlink>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where you can connect with leaders and access professional development opportunities!</w:t>
      </w:r>
    </w:p>
    <w:sectPr>
      <w:pgSz w:h="15840" w:w="12240" w:orient="portrait"/>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
      </w:rPr>
    </w:rPrDefault>
    <w:pPrDefault>
      <w:pPr>
        <w:spacing w:after="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32"/>
      <w:szCs w:val="32"/>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sz w:val="28"/>
      <w:szCs w:val="28"/>
    </w:rPr>
  </w:style>
  <w:style w:type="paragraph" w:styleId="Heading4">
    <w:name w:val="heading 4"/>
    <w:basedOn w:val="Normal"/>
    <w:next w:val="Normal"/>
    <w:pPr>
      <w:keepNext w:val="1"/>
      <w:keepLines w:val="1"/>
      <w:spacing w:after="0" w:before="200" w:lineRule="auto"/>
    </w:pPr>
    <w:rPr>
      <w:rFonts w:ascii="Calibri" w:cs="Calibri" w:eastAsia="Calibri" w:hAnsi="Calibri"/>
      <w:b w:val="1"/>
      <w:color w:val="4f81bd"/>
      <w:sz w:val="24"/>
      <w:szCs w:val="24"/>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sz w:val="24"/>
      <w:szCs w:val="24"/>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ws.amazon.com/blogs/architecture/architecting-near-real-time-personalized-recommendations-with-amazon-personalize/" TargetMode="External"/><Relationship Id="rId11" Type="http://schemas.openxmlformats.org/officeDocument/2006/relationships/hyperlink" Target="https://www.superoffice.com/blog/personalization/" TargetMode="External"/><Relationship Id="rId22" Type="http://schemas.openxmlformats.org/officeDocument/2006/relationships/hyperlink" Target="https://afpwny.org" TargetMode="External"/><Relationship Id="rId10" Type="http://schemas.openxmlformats.org/officeDocument/2006/relationships/hyperlink" Target="https://www.superoffice.com/blog/personalization/" TargetMode="External"/><Relationship Id="rId21" Type="http://schemas.openxmlformats.org/officeDocument/2006/relationships/hyperlink" Target="https://aws.amazon.com/blogs/architecture/architecting-near-real-time-personalized-recommendations-with-amazon-personalize/" TargetMode="External"/><Relationship Id="rId13" Type="http://schemas.openxmlformats.org/officeDocument/2006/relationships/hyperlink" Target="https://business.adobe.com/blog/basics/market-segmentation" TargetMode="External"/><Relationship Id="rId12" Type="http://schemas.openxmlformats.org/officeDocument/2006/relationships/hyperlink" Target="https://business.adobe.com/blog/basics/market-segment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aws.amazon.com/personalize/latest/dg/optimizing-solution-for-objective.html" TargetMode="External"/><Relationship Id="rId15" Type="http://schemas.openxmlformats.org/officeDocument/2006/relationships/hyperlink" Target="https://www.adobe.com/blog/basics/real-world-examples-of-customer-segmentation" TargetMode="External"/><Relationship Id="rId14" Type="http://schemas.openxmlformats.org/officeDocument/2006/relationships/hyperlink" Target="https://www.adobe.com/blog/basics/real-world-examples-of-customer-segmentation" TargetMode="External"/><Relationship Id="rId17" Type="http://schemas.openxmlformats.org/officeDocument/2006/relationships/hyperlink" Target="https://www.aprimo.com/blog/how-ai-agents-streamline-content-personalization-processes" TargetMode="External"/><Relationship Id="rId16" Type="http://schemas.openxmlformats.org/officeDocument/2006/relationships/hyperlink" Target="https://www.aprimo.com/blog/how-ai-agents-streamline-content-personalization-processes" TargetMode="External"/><Relationship Id="rId5" Type="http://schemas.openxmlformats.org/officeDocument/2006/relationships/styles" Target="styles.xml"/><Relationship Id="rId19" Type="http://schemas.openxmlformats.org/officeDocument/2006/relationships/hyperlink" Target="https://blogs.perficient.com/2024/09/24/personalization-with-optimizely-data-platform-odp/" TargetMode="External"/><Relationship Id="rId6" Type="http://schemas.openxmlformats.org/officeDocument/2006/relationships/image" Target="media/image1.png"/><Relationship Id="rId18" Type="http://schemas.openxmlformats.org/officeDocument/2006/relationships/hyperlink" Target="https://blogs.perficient.com/2024/09/24/personalization-with-optimizely-data-platform-odp/" TargetMode="External"/><Relationship Id="rId7" Type="http://schemas.openxmlformats.org/officeDocument/2006/relationships/hyperlink" Target="https://www.freepik.com/free-photo/authentic-small-youthful-marketing-agency_94964127.htm" TargetMode="External"/><Relationship Id="rId8" Type="http://schemas.openxmlformats.org/officeDocument/2006/relationships/hyperlink" Target="https://docs.aws.amazon.com/personalize/latest/dg/optimizing-solution-for-objecti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